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529"/>
      </w:tblGrid>
      <w:tr w:rsidR="00CA3CC3" w14:paraId="64420E4A" w14:textId="77777777">
        <w:tc>
          <w:tcPr>
            <w:tcW w:w="8529" w:type="dxa"/>
          </w:tcPr>
          <w:p w14:paraId="4536DA03" w14:textId="77777777" w:rsidR="00CA3CC3" w:rsidRPr="005E0B1C" w:rsidRDefault="00BE3953" w:rsidP="00CA109F">
            <w:pPr>
              <w:pStyle w:val="Heading1"/>
              <w:rPr>
                <w:lang w:val="tr-TR"/>
              </w:rPr>
            </w:pPr>
            <w:r>
              <w:rPr>
                <w:lang w:val="tr-TR"/>
              </w:rPr>
              <w:t>BORSA İSTANBUL A.Ş.</w:t>
            </w:r>
            <w:r w:rsidR="00CA3CC3">
              <w:rPr>
                <w:lang w:val="tr-TR"/>
              </w:rPr>
              <w:t xml:space="preserve"> </w:t>
            </w:r>
            <w:r w:rsidRPr="005E0B1C">
              <w:rPr>
                <w:lang w:val="tr-TR"/>
              </w:rPr>
              <w:t>PAY</w:t>
            </w:r>
            <w:r w:rsidR="007E70AF" w:rsidRPr="005E0B1C">
              <w:rPr>
                <w:lang w:val="tr-TR"/>
              </w:rPr>
              <w:t xml:space="preserve"> </w:t>
            </w:r>
            <w:r w:rsidR="00CA3CC3" w:rsidRPr="005E0B1C">
              <w:rPr>
                <w:lang w:val="tr-TR"/>
              </w:rPr>
              <w:t>P</w:t>
            </w:r>
            <w:r w:rsidR="007E70AF" w:rsidRPr="005E0B1C">
              <w:rPr>
                <w:lang w:val="tr-TR"/>
              </w:rPr>
              <w:t>İYASASI</w:t>
            </w:r>
          </w:p>
          <w:p w14:paraId="645677E2" w14:textId="77777777" w:rsidR="00CA3CC3" w:rsidRDefault="00CA3CC3" w:rsidP="00CA109F">
            <w:pPr>
              <w:numPr>
                <w:ilvl w:val="12"/>
                <w:numId w:val="0"/>
              </w:numPr>
              <w:jc w:val="center"/>
              <w:rPr>
                <w:b/>
                <w:lang w:val="tr-TR"/>
              </w:rPr>
            </w:pPr>
            <w:r>
              <w:rPr>
                <w:b/>
                <w:lang w:val="tr-TR"/>
              </w:rPr>
              <w:t>P</w:t>
            </w:r>
            <w:r w:rsidR="007E70AF">
              <w:rPr>
                <w:b/>
                <w:lang w:val="tr-TR"/>
              </w:rPr>
              <w:t xml:space="preserve">İYASA </w:t>
            </w:r>
            <w:r>
              <w:rPr>
                <w:b/>
                <w:lang w:val="tr-TR"/>
              </w:rPr>
              <w:t>Y</w:t>
            </w:r>
            <w:r w:rsidR="007E70AF">
              <w:rPr>
                <w:b/>
                <w:lang w:val="tr-TR"/>
              </w:rPr>
              <w:t>APICILIK</w:t>
            </w:r>
            <w:r>
              <w:rPr>
                <w:b/>
                <w:lang w:val="tr-TR"/>
              </w:rPr>
              <w:t xml:space="preserve"> T</w:t>
            </w:r>
            <w:r w:rsidR="007E70AF">
              <w:rPr>
                <w:b/>
                <w:lang w:val="tr-TR"/>
              </w:rPr>
              <w:t>AAHHÜTNAMESİ</w:t>
            </w:r>
          </w:p>
        </w:tc>
      </w:tr>
    </w:tbl>
    <w:p w14:paraId="552B0A05" w14:textId="77777777" w:rsidR="00CA3CC3" w:rsidRDefault="00CA3CC3" w:rsidP="008550B4">
      <w:pPr>
        <w:numPr>
          <w:ilvl w:val="12"/>
          <w:numId w:val="0"/>
        </w:numPr>
        <w:ind w:left="283" w:hanging="283"/>
        <w:rPr>
          <w:lang w:val="tr-TR"/>
        </w:rPr>
      </w:pPr>
    </w:p>
    <w:p w14:paraId="6F2C3330" w14:textId="77777777" w:rsidR="00BE3953" w:rsidRDefault="00BE3953" w:rsidP="00CA109F">
      <w:pPr>
        <w:numPr>
          <w:ilvl w:val="12"/>
          <w:numId w:val="0"/>
        </w:numPr>
        <w:tabs>
          <w:tab w:val="right" w:pos="6096"/>
        </w:tabs>
        <w:jc w:val="left"/>
        <w:rPr>
          <w:b/>
          <w:lang w:val="tr-TR"/>
        </w:rPr>
      </w:pPr>
      <w:r>
        <w:rPr>
          <w:b/>
          <w:lang w:val="tr-TR"/>
        </w:rPr>
        <w:t>BORSA İSTANBUL A.Ş.</w:t>
      </w:r>
    </w:p>
    <w:p w14:paraId="0DB49C52" w14:textId="77777777" w:rsidR="00CA3CC3" w:rsidRDefault="00BE3953" w:rsidP="00CA109F">
      <w:pPr>
        <w:numPr>
          <w:ilvl w:val="12"/>
          <w:numId w:val="0"/>
        </w:numPr>
        <w:tabs>
          <w:tab w:val="right" w:pos="6096"/>
        </w:tabs>
        <w:jc w:val="left"/>
        <w:rPr>
          <w:b/>
          <w:lang w:val="tr-TR"/>
        </w:rPr>
      </w:pPr>
      <w:r>
        <w:rPr>
          <w:b/>
          <w:lang w:val="tr-TR"/>
        </w:rPr>
        <w:t>GENEL MÜDÜRLÜĞÜNE</w:t>
      </w:r>
    </w:p>
    <w:p w14:paraId="64DDAE35" w14:textId="77777777" w:rsidR="00CA3CC3" w:rsidRDefault="005E0B1C" w:rsidP="00CA109F">
      <w:pPr>
        <w:numPr>
          <w:ilvl w:val="12"/>
          <w:numId w:val="0"/>
        </w:numPr>
        <w:tabs>
          <w:tab w:val="right" w:pos="6096"/>
        </w:tabs>
        <w:ind w:left="283"/>
        <w:jc w:val="right"/>
        <w:rPr>
          <w:b/>
          <w:lang w:val="tr-TR"/>
        </w:rPr>
      </w:pPr>
      <w:proofErr w:type="gramStart"/>
      <w:r>
        <w:rPr>
          <w:b/>
          <w:lang w:val="tr-TR"/>
        </w:rPr>
        <w:t>İstanbul, ..</w:t>
      </w:r>
      <w:proofErr w:type="gramEnd"/>
      <w:r>
        <w:rPr>
          <w:b/>
          <w:lang w:val="tr-TR"/>
        </w:rPr>
        <w:t>… / ….. / ...……</w:t>
      </w:r>
    </w:p>
    <w:p w14:paraId="27711ED7" w14:textId="77777777" w:rsidR="008550B4" w:rsidRDefault="008550B4" w:rsidP="00CA109F">
      <w:pPr>
        <w:numPr>
          <w:ilvl w:val="12"/>
          <w:numId w:val="0"/>
        </w:numPr>
        <w:ind w:left="283"/>
        <w:jc w:val="right"/>
        <w:rPr>
          <w:b/>
          <w:lang w:val="tr-TR"/>
        </w:rPr>
      </w:pPr>
    </w:p>
    <w:p w14:paraId="39B8F40D" w14:textId="77777777" w:rsidR="00CA3CC3" w:rsidRDefault="00BE3953" w:rsidP="00CA109F">
      <w:pPr>
        <w:pStyle w:val="BodyTextIndent2"/>
        <w:ind w:firstLine="0"/>
        <w:rPr>
          <w:lang w:val="tr-TR"/>
        </w:rPr>
      </w:pPr>
      <w:r>
        <w:rPr>
          <w:lang w:val="tr-TR"/>
        </w:rPr>
        <w:t>Borsa İstanbul A.Ş.</w:t>
      </w:r>
      <w:r w:rsidR="00CA3CC3">
        <w:rPr>
          <w:lang w:val="tr-TR"/>
        </w:rPr>
        <w:t xml:space="preserve"> (bundan sonra Borsa olarak adlandırılacaktır) </w:t>
      </w:r>
      <w:r>
        <w:rPr>
          <w:lang w:val="tr-TR"/>
        </w:rPr>
        <w:t>Pay</w:t>
      </w:r>
      <w:r w:rsidR="00CA3CC3">
        <w:rPr>
          <w:lang w:val="tr-TR"/>
        </w:rPr>
        <w:t xml:space="preserve"> Piyasası Pazarlarında (bundan sonra Pazar olarak adlandırılacaktır) piyasa yapıcılık faaliyetinde bulunmaya yetkili Borsa Üyesi olarak;</w:t>
      </w:r>
    </w:p>
    <w:p w14:paraId="07775751" w14:textId="77777777" w:rsidR="00CA3CC3" w:rsidRDefault="00CA3CC3">
      <w:pPr>
        <w:pStyle w:val="Footer"/>
        <w:numPr>
          <w:ilvl w:val="12"/>
          <w:numId w:val="0"/>
        </w:numPr>
        <w:tabs>
          <w:tab w:val="clear" w:pos="4153"/>
          <w:tab w:val="clear" w:pos="8306"/>
        </w:tabs>
        <w:ind w:left="283" w:hanging="283"/>
        <w:rPr>
          <w:lang w:val="tr-TR"/>
        </w:rPr>
      </w:pPr>
    </w:p>
    <w:p w14:paraId="085D6192" w14:textId="77777777" w:rsidR="00CA3CC3" w:rsidRDefault="007E70AF" w:rsidP="00101734">
      <w:pPr>
        <w:pStyle w:val="BodyText"/>
        <w:numPr>
          <w:ilvl w:val="0"/>
          <w:numId w:val="7"/>
        </w:numPr>
        <w:spacing w:before="120" w:after="120"/>
        <w:ind w:left="397" w:hanging="397"/>
        <w:rPr>
          <w:lang w:val="tr-TR"/>
        </w:rPr>
      </w:pPr>
      <w:r>
        <w:rPr>
          <w:lang w:val="tr-TR"/>
        </w:rPr>
        <w:t>Pazar</w:t>
      </w:r>
      <w:r w:rsidR="00CA3CC3">
        <w:rPr>
          <w:lang w:val="tr-TR"/>
        </w:rPr>
        <w:t>da gerçekleştirilecek işlemler ile ilgili olarak Sermaye Piyasası Kurulu</w:t>
      </w:r>
      <w:r w:rsidR="00703496">
        <w:rPr>
          <w:lang w:val="tr-TR"/>
        </w:rPr>
        <w:t>’</w:t>
      </w:r>
      <w:r w:rsidR="00CA3CC3">
        <w:rPr>
          <w:lang w:val="tr-TR"/>
        </w:rPr>
        <w:t>nun (bundan sonra SP</w:t>
      </w:r>
      <w:r w:rsidR="00703496">
        <w:rPr>
          <w:lang w:val="tr-TR"/>
        </w:rPr>
        <w:t xml:space="preserve">K olarak adlandırılacaktır) ve </w:t>
      </w:r>
      <w:r w:rsidR="00CA3CC3">
        <w:rPr>
          <w:lang w:val="tr-TR"/>
        </w:rPr>
        <w:t>Borsanın her türlü düzenleme, denetim ve gözetim yetkisine sahip olduğunu ve işbu Taahhütnamenin imzalanmasından önce yapılmış ve sonra yapılacak olan tüm düzenleme ve değişikliklere uyacağımızı,</w:t>
      </w:r>
    </w:p>
    <w:p w14:paraId="0174D8C9" w14:textId="77777777" w:rsidR="00CA3CC3" w:rsidRDefault="00CA3CC3" w:rsidP="00101734">
      <w:pPr>
        <w:pStyle w:val="BodyTextIndent"/>
        <w:numPr>
          <w:ilvl w:val="0"/>
          <w:numId w:val="7"/>
        </w:numPr>
        <w:spacing w:before="120" w:after="120"/>
        <w:ind w:left="397" w:hanging="397"/>
        <w:rPr>
          <w:lang w:val="tr-TR"/>
        </w:rPr>
      </w:pPr>
      <w:r>
        <w:rPr>
          <w:lang w:val="tr-TR"/>
        </w:rPr>
        <w:t>SPK’nın ve Borsanın ilgili düzenlemelerinde öngörülen mali ve diğer yükümlülükleri süresi içinde yerine getireceğimizi,</w:t>
      </w:r>
    </w:p>
    <w:p w14:paraId="7AAD5A14"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 xml:space="preserve">Piyasa yapıcı olarak gerçekleştirilen işlemler nedeniyle temerrüt oluşması durumunda ilgili mevzuatta temerrüde ilişkin olarak yer verilen hükümlerin </w:t>
      </w:r>
      <w:proofErr w:type="gramStart"/>
      <w:r w:rsidRPr="00CA109F">
        <w:rPr>
          <w:lang w:val="tr-TR"/>
        </w:rPr>
        <w:t>uygulanacağını</w:t>
      </w:r>
      <w:proofErr w:type="gramEnd"/>
      <w:r w:rsidRPr="00CA109F">
        <w:rPr>
          <w:lang w:val="tr-TR"/>
        </w:rPr>
        <w:t>,</w:t>
      </w:r>
    </w:p>
    <w:p w14:paraId="6765A0E8" w14:textId="77777777" w:rsidR="00CA3CC3" w:rsidRPr="00CA109F" w:rsidRDefault="00D614BD" w:rsidP="00101734">
      <w:pPr>
        <w:pStyle w:val="ListParagraph"/>
        <w:numPr>
          <w:ilvl w:val="0"/>
          <w:numId w:val="7"/>
        </w:numPr>
        <w:spacing w:before="120" w:after="120"/>
        <w:ind w:left="397" w:hanging="397"/>
        <w:contextualSpacing w:val="0"/>
        <w:rPr>
          <w:lang w:val="tr-TR"/>
        </w:rPr>
      </w:pPr>
      <w:r>
        <w:rPr>
          <w:lang w:val="tr-TR"/>
        </w:rPr>
        <w:t xml:space="preserve">Pazar işlemleriyle ilgili </w:t>
      </w:r>
      <w:r w:rsidR="00CA3CC3" w:rsidRPr="00CA109F">
        <w:rPr>
          <w:lang w:val="tr-TR"/>
        </w:rPr>
        <w:t>her tür inceleme için SPK ve Borsa tarafından görevlendirilenlere tüm kolaylığı göstereceğimizi ve yardımda bulunacağımızı, istenecek her türlü bilgi ve belgeleri süresi içinde vereceğimizi,</w:t>
      </w:r>
    </w:p>
    <w:p w14:paraId="40DAE263"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Pazar işlemlerine ilişkin kayıtları eksiksiz tutacağımızı,</w:t>
      </w:r>
    </w:p>
    <w:p w14:paraId="282BBE57"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Olağandışı pazar koşullarında gerekebilecek ek personel istihdam edecek yapıya ve Borsa tarafından talep edilen teknik sistem ve donanıma sahip olduğumuzu, istenilen yenilemeleri yapacağımızı,</w:t>
      </w:r>
    </w:p>
    <w:p w14:paraId="3131E94C"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 xml:space="preserve">SPK </w:t>
      </w:r>
      <w:r w:rsidR="00B07EBB">
        <w:rPr>
          <w:lang w:val="tr-TR"/>
        </w:rPr>
        <w:t>ve/veya Borsa tarafından</w:t>
      </w:r>
      <w:r w:rsidRPr="00CA109F">
        <w:rPr>
          <w:lang w:val="tr-TR"/>
        </w:rPr>
        <w:t xml:space="preserve"> belirlenen limitlerin aşılması durumunda SPK ve/veya Borsa tarafından yapılacak düzenlemelere uygun olarak gerekli teminatları sağlayacağımızı,</w:t>
      </w:r>
    </w:p>
    <w:p w14:paraId="62CFCC58"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İşlem ön koşulu olarak ilave teminat belirlenmesi durumunda bu teminatların verilen süre içinde yatırılacağını, eksilen teminatların belirlenen süre içinde tamamlanacağını, bu hususlarda Borsa Yönetim Kurulu ve/veya SPK tarafından alınan kararlara uyulacağını, belirlenen işlem limitlerine uygun teminatlar ile gerektiğinde ilave teminatların süresi içerisinde yatırılacağını,</w:t>
      </w:r>
    </w:p>
    <w:p w14:paraId="58DF2D99"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Piyasa yapıcılığı yetkisine sahip olmak için Borsaca belirlenen asgari niteliklerden herhangi birini kaybetmemiz h</w:t>
      </w:r>
      <w:r w:rsidR="0034201F">
        <w:rPr>
          <w:lang w:val="tr-TR"/>
        </w:rPr>
        <w:t>â</w:t>
      </w:r>
      <w:r w:rsidRPr="00CA109F">
        <w:rPr>
          <w:lang w:val="tr-TR"/>
        </w:rPr>
        <w:t>linde durumu ivedilikle Borsaya bildireceğimizi,</w:t>
      </w:r>
    </w:p>
    <w:p w14:paraId="04E53A6D"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Borsanın piyasa yapıcılığı yetkimizi düzenlemeler kapsamında geçici veya sürekli olarak iptal edebileceğini,</w:t>
      </w:r>
    </w:p>
    <w:p w14:paraId="68FF1407"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t>Piyasa yapıcılık faaliyetinde bulunmaya yetkili Borsa üyeliğine ilişkin yükümlülüklerin yerine getirilmesini engelleyici nitelikte gerçekleşmiş ya da gerçekleşmesi muhtemel mali problemleri Borsaya ivedilikle bildireceğimizi,</w:t>
      </w:r>
    </w:p>
    <w:p w14:paraId="1CB045BC" w14:textId="77777777" w:rsidR="00CA3CC3" w:rsidRPr="00CA109F" w:rsidRDefault="00CA3CC3" w:rsidP="00101734">
      <w:pPr>
        <w:pStyle w:val="ListParagraph"/>
        <w:numPr>
          <w:ilvl w:val="0"/>
          <w:numId w:val="7"/>
        </w:numPr>
        <w:spacing w:before="120" w:after="120"/>
        <w:ind w:left="397" w:hanging="397"/>
        <w:contextualSpacing w:val="0"/>
        <w:rPr>
          <w:lang w:val="tr-TR"/>
        </w:rPr>
      </w:pPr>
      <w:r w:rsidRPr="00CA109F">
        <w:rPr>
          <w:lang w:val="tr-TR"/>
        </w:rPr>
        <w:lastRenderedPageBreak/>
        <w:t>Alım-satım emirlerinin sisteme girişi, eşleştirilmesi ile emir ve işlem bilgilerinin gösterilmesine ilişkin olarak Borsa Yönetim Kurulu</w:t>
      </w:r>
      <w:r w:rsidR="00B07EBB">
        <w:rPr>
          <w:lang w:val="tr-TR"/>
        </w:rPr>
        <w:t xml:space="preserve"> tarafından</w:t>
      </w:r>
      <w:r w:rsidRPr="00CA109F">
        <w:rPr>
          <w:lang w:val="tr-TR"/>
        </w:rPr>
        <w:t xml:space="preserve"> belirlenen ve aşağıda belirtilen işlevsel sorumlulukları SPK ve Borsa düzenlemelerine uygun olarak yapacağımızı,</w:t>
      </w:r>
    </w:p>
    <w:p w14:paraId="316FF412" w14:textId="77777777" w:rsidR="00CA3CC3" w:rsidRDefault="00CA3CC3" w:rsidP="00CA109F">
      <w:pPr>
        <w:ind w:left="426" w:hanging="426"/>
        <w:rPr>
          <w:lang w:val="tr-TR"/>
        </w:rPr>
      </w:pPr>
    </w:p>
    <w:p w14:paraId="2EF327EA" w14:textId="77777777" w:rsidR="00CA3CC3" w:rsidRDefault="00CA3CC3" w:rsidP="00CA109F">
      <w:pPr>
        <w:numPr>
          <w:ilvl w:val="0"/>
          <w:numId w:val="3"/>
        </w:numPr>
        <w:tabs>
          <w:tab w:val="clear" w:pos="360"/>
          <w:tab w:val="num" w:pos="993"/>
        </w:tabs>
        <w:spacing w:after="120"/>
        <w:ind w:left="709" w:hanging="284"/>
        <w:rPr>
          <w:lang w:val="tr-TR"/>
        </w:rPr>
      </w:pPr>
      <w:r>
        <w:rPr>
          <w:lang w:val="tr-TR"/>
        </w:rPr>
        <w:t>Mali kaynaklar ile tutarlı bir şekilde kendi nam ve hesabına işlem yapmak,</w:t>
      </w:r>
    </w:p>
    <w:p w14:paraId="414EF986" w14:textId="77777777" w:rsidR="00CA3CC3" w:rsidRDefault="00CA3CC3" w:rsidP="00CA109F">
      <w:pPr>
        <w:numPr>
          <w:ilvl w:val="0"/>
          <w:numId w:val="3"/>
        </w:numPr>
        <w:tabs>
          <w:tab w:val="clear" w:pos="360"/>
          <w:tab w:val="num" w:pos="993"/>
        </w:tabs>
        <w:spacing w:after="120"/>
        <w:ind w:left="709" w:hanging="284"/>
        <w:rPr>
          <w:lang w:val="tr-TR"/>
        </w:rPr>
      </w:pPr>
      <w:r>
        <w:rPr>
          <w:lang w:val="tr-TR"/>
        </w:rPr>
        <w:t>Borsa düzenlemelerine uygun olarak sürekli ve tek/çift taraflı kotasyon vermek,</w:t>
      </w:r>
    </w:p>
    <w:p w14:paraId="0DC76864" w14:textId="77777777" w:rsidR="00CA3CC3" w:rsidRDefault="00CA3CC3" w:rsidP="00CA109F">
      <w:pPr>
        <w:numPr>
          <w:ilvl w:val="0"/>
          <w:numId w:val="3"/>
        </w:numPr>
        <w:tabs>
          <w:tab w:val="clear" w:pos="360"/>
          <w:tab w:val="num" w:pos="993"/>
        </w:tabs>
        <w:spacing w:after="120"/>
        <w:ind w:left="709" w:hanging="284"/>
        <w:rPr>
          <w:lang w:val="tr-TR"/>
        </w:rPr>
      </w:pPr>
      <w:r>
        <w:rPr>
          <w:lang w:val="tr-TR"/>
        </w:rPr>
        <w:t>Makul bir derinlikte fiyat sürekliliği sağlamak,</w:t>
      </w:r>
    </w:p>
    <w:p w14:paraId="35FC8E95" w14:textId="77777777" w:rsidR="00CA3CC3" w:rsidRDefault="00CA3CC3" w:rsidP="00CA109F">
      <w:pPr>
        <w:numPr>
          <w:ilvl w:val="0"/>
          <w:numId w:val="3"/>
        </w:numPr>
        <w:tabs>
          <w:tab w:val="clear" w:pos="360"/>
          <w:tab w:val="num" w:pos="993"/>
        </w:tabs>
        <w:spacing w:after="120"/>
        <w:ind w:left="709" w:hanging="284"/>
        <w:rPr>
          <w:lang w:val="tr-TR"/>
        </w:rPr>
      </w:pPr>
      <w:r>
        <w:rPr>
          <w:lang w:val="tr-TR"/>
        </w:rPr>
        <w:t>Emir dengesizliklerini en aza indirmeye çalışmak,</w:t>
      </w:r>
    </w:p>
    <w:p w14:paraId="34F6C432" w14:textId="77777777" w:rsidR="00CA3CC3" w:rsidRDefault="00CA3CC3" w:rsidP="00CA109F">
      <w:pPr>
        <w:numPr>
          <w:ilvl w:val="0"/>
          <w:numId w:val="3"/>
        </w:numPr>
        <w:tabs>
          <w:tab w:val="clear" w:pos="360"/>
          <w:tab w:val="num" w:pos="993"/>
        </w:tabs>
        <w:spacing w:after="120"/>
        <w:ind w:left="709" w:hanging="284"/>
        <w:rPr>
          <w:lang w:val="tr-TR"/>
        </w:rPr>
      </w:pPr>
      <w:r>
        <w:rPr>
          <w:lang w:val="tr-TR"/>
        </w:rPr>
        <w:t>İşlemden işleme fiyat değişimlerini en az, işlem hacmini ise mevzuata uygun surette en çok yapmaya çalışmak,</w:t>
      </w:r>
    </w:p>
    <w:p w14:paraId="79D17260" w14:textId="77777777" w:rsidR="00CA3CC3" w:rsidRDefault="00CA3CC3" w:rsidP="00CA109F">
      <w:pPr>
        <w:numPr>
          <w:ilvl w:val="0"/>
          <w:numId w:val="3"/>
        </w:numPr>
        <w:tabs>
          <w:tab w:val="clear" w:pos="360"/>
          <w:tab w:val="num" w:pos="993"/>
        </w:tabs>
        <w:spacing w:after="120"/>
        <w:ind w:left="709" w:hanging="284"/>
        <w:rPr>
          <w:lang w:val="tr-TR"/>
        </w:rPr>
      </w:pPr>
      <w:r>
        <w:rPr>
          <w:lang w:val="tr-TR"/>
        </w:rPr>
        <w:t>Sorumlu olduğumuz menkul kıymetin piyasasının mevzuata uygun dürüst, düzenli ve etkin çalışmasını sağlamak ve likiditeye katkıda bulunmak amacıyla faaliyette bulunmak,</w:t>
      </w:r>
    </w:p>
    <w:p w14:paraId="731DC043" w14:textId="77777777" w:rsidR="00CA3CC3" w:rsidRDefault="00CA3CC3">
      <w:pPr>
        <w:rPr>
          <w:lang w:val="tr-TR"/>
        </w:rPr>
      </w:pPr>
    </w:p>
    <w:p w14:paraId="5765C00D"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t>11) Bir piyasa yapıcının birden fazla menkul kıymette piyasa yapıcısı olarak atanabileceğini, Borsa Yönetim Kurulunun piyasa yapıcı üyenin piyasa yapıcılık faaliyetinde bulunabileceği menkul kıymet sayısına sınırlama getirebileceğini,</w:t>
      </w:r>
    </w:p>
    <w:p w14:paraId="75859A58"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t>Pazarda alım-satım yapmaya yetkili temsilcilerimizin gerek üçüncü şahıslara gerekse şirketimizce istihdam edilmiş ve/veya edilecek yetkili ya da yetkisiz temsilcilerine rızası dışında da olsa şifre devretmesi veya kullandırılması sonucu kotasyon girişi ve kotasyon değişikliği, emir girişi, emir iptali ve emir değişikliği, işlem gerçekleştirilmesi, işlem değişikliği ve işlem iptali gibi pazarda yapılan işlemler nedeni ile ortaya çıkacak hukuki, cezai ve/veya mali sorumluluğun müşterek ve müteselsil olarak şirketimize ait olduğunu,</w:t>
      </w:r>
    </w:p>
    <w:p w14:paraId="217F2A31"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t>Pazarda gerçekleştirilecek işlemlerle ilgili doğabilecek herhangi bir ihtilaf h</w:t>
      </w:r>
      <w:r w:rsidR="0061280F">
        <w:rPr>
          <w:lang w:val="tr-TR"/>
        </w:rPr>
        <w:t>â</w:t>
      </w:r>
      <w:r w:rsidRPr="00554BFF">
        <w:rPr>
          <w:lang w:val="tr-TR"/>
        </w:rPr>
        <w:t xml:space="preserve">linde Borsa kayıtlarının geçerli ve </w:t>
      </w:r>
      <w:r w:rsidR="0061280F">
        <w:rPr>
          <w:lang w:val="tr-TR"/>
        </w:rPr>
        <w:t>ilgili hukuki düzenlemeler uyarınca</w:t>
      </w:r>
      <w:r w:rsidRPr="00554BFF">
        <w:rPr>
          <w:lang w:val="tr-TR"/>
        </w:rPr>
        <w:t xml:space="preserve"> kesin delil niteliğinde olacağını,</w:t>
      </w:r>
    </w:p>
    <w:p w14:paraId="268255F8"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t xml:space="preserve">Pazar ile ilgili gerçekleştirilen tüm işlemler için Sermaye Piyasası ve Borsa mevzuatı yanında Borsanın bu konudaki </w:t>
      </w:r>
      <w:r w:rsidR="003A2689">
        <w:rPr>
          <w:lang w:val="tr-TR"/>
        </w:rPr>
        <w:t>düzenlemelerinin</w:t>
      </w:r>
      <w:r w:rsidRPr="00554BFF">
        <w:rPr>
          <w:lang w:val="tr-TR"/>
        </w:rPr>
        <w:t>, yetkili organların karar ve bildirimleri ile bu Taahhütname şartlarının geçerli olduğunu,</w:t>
      </w:r>
    </w:p>
    <w:p w14:paraId="7128DF76"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t>Piyasa yapıcılığımızın talebimiz üzerine sona ermesi dışında, işbu Taahhütnameyi ve mevzuat hükümlerini herhangi bir şekilde ihlal ettiğimiz takdirde ya da piyasa yapıcılık için belirlenen şartları yitirmemiz h</w:t>
      </w:r>
      <w:r w:rsidR="0034201F">
        <w:rPr>
          <w:lang w:val="tr-TR"/>
        </w:rPr>
        <w:t>â</w:t>
      </w:r>
      <w:r w:rsidRPr="00554BFF">
        <w:rPr>
          <w:lang w:val="tr-TR"/>
        </w:rPr>
        <w:t>linde piyasa yapıcılığımızın Borsanın yapacağı ihbar ile tek taraflı olarak iptal edilebileceğini, ayrıca bu tür fiillerimiz nedeni ile Borsanın, yatırımcıların ve 3. şahısların uğrayacakları zararlardan dolayı münhasıran ve tek başına sorumlu olacağımızı;</w:t>
      </w:r>
    </w:p>
    <w:p w14:paraId="48119FF0"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t>Faaliyetlerimizin SPK tarafından durdurulması, yetki belgelerimizin iptal edilmesi ve/veya bir başka kurum tarafından devralınma, satın alınma ya da birleşme sonucu başka bir tüzel kişiye dönüşmeye neden olan bir işleme taraf olunması durumunda piyasa yapıcılığı durumunun devamının Borsa Yönetim Kurulu tarafından belirleneceğini,</w:t>
      </w:r>
    </w:p>
    <w:p w14:paraId="67318D95" w14:textId="77777777" w:rsidR="00CA3CC3" w:rsidRPr="00554BFF" w:rsidRDefault="00CA3CC3" w:rsidP="00101734">
      <w:pPr>
        <w:pStyle w:val="ListParagraph"/>
        <w:numPr>
          <w:ilvl w:val="0"/>
          <w:numId w:val="7"/>
        </w:numPr>
        <w:spacing w:before="120" w:after="120"/>
        <w:ind w:left="397" w:hanging="397"/>
        <w:contextualSpacing w:val="0"/>
        <w:rPr>
          <w:lang w:val="tr-TR"/>
        </w:rPr>
      </w:pPr>
      <w:r w:rsidRPr="00554BFF">
        <w:rPr>
          <w:lang w:val="tr-TR"/>
        </w:rPr>
        <w:lastRenderedPageBreak/>
        <w:t xml:space="preserve">İşbu Taahhütname şartlarının SPK ve </w:t>
      </w:r>
      <w:r w:rsidR="00BE3953" w:rsidRPr="00554BFF">
        <w:rPr>
          <w:lang w:val="tr-TR"/>
        </w:rPr>
        <w:t>Borsa</w:t>
      </w:r>
      <w:r w:rsidRPr="00554BFF">
        <w:rPr>
          <w:lang w:val="tr-TR"/>
        </w:rPr>
        <w:t xml:space="preserve"> tarafından çıkartılmış olan her türlü mevzuat ve benzeri tüm düzenleme hükümleri çerçevesinde uygulanacağını, SPK ve Borsa Yönetim Kurulunun söz konusu hükümler ve şartları </w:t>
      </w:r>
      <w:r w:rsidR="00B07EBB">
        <w:rPr>
          <w:lang w:val="tr-TR"/>
        </w:rPr>
        <w:t>yorumlamaya, açıklık bulunmayan</w:t>
      </w:r>
      <w:r w:rsidRPr="00554BFF">
        <w:rPr>
          <w:lang w:val="tr-TR"/>
        </w:rPr>
        <w:t xml:space="preserve"> hususlarda genel hükümleri de göz önünde bulundurarak karar vermeye, uygulamayı düzenlemeye ve</w:t>
      </w:r>
      <w:r w:rsidR="00554BFF" w:rsidRPr="00554BFF">
        <w:rPr>
          <w:lang w:val="tr-TR"/>
        </w:rPr>
        <w:t xml:space="preserve"> yönlendirmeye yetkili olduğunu</w:t>
      </w:r>
    </w:p>
    <w:p w14:paraId="73116D56" w14:textId="77777777" w:rsidR="00CA3CC3" w:rsidRDefault="00CA3CC3">
      <w:pPr>
        <w:ind w:left="0" w:firstLine="0"/>
        <w:rPr>
          <w:lang w:val="tr-TR"/>
        </w:rPr>
      </w:pPr>
    </w:p>
    <w:p w14:paraId="7E9C5EC5" w14:textId="77777777" w:rsidR="00CA3CC3" w:rsidRDefault="00CA3CC3">
      <w:pPr>
        <w:ind w:left="0" w:firstLine="0"/>
        <w:rPr>
          <w:lang w:val="tr-TR"/>
        </w:rPr>
      </w:pPr>
      <w:proofErr w:type="gramStart"/>
      <w:r>
        <w:rPr>
          <w:lang w:val="tr-TR"/>
        </w:rPr>
        <w:t>kayıtsız</w:t>
      </w:r>
      <w:proofErr w:type="gramEnd"/>
      <w:r>
        <w:rPr>
          <w:lang w:val="tr-TR"/>
        </w:rPr>
        <w:t>, şartsız ve piyasa yapıcılık stat</w:t>
      </w:r>
      <w:r w:rsidR="00137290">
        <w:rPr>
          <w:lang w:val="tr-TR"/>
        </w:rPr>
        <w:t>ü</w:t>
      </w:r>
      <w:r>
        <w:rPr>
          <w:lang w:val="tr-TR"/>
        </w:rPr>
        <w:t>sü devam ettiği sürece gayri kabil-i rücu kabul, beyan ve taahhüt ederiz.</w:t>
      </w:r>
    </w:p>
    <w:p w14:paraId="4FECA660" w14:textId="77777777" w:rsidR="00CA3CC3" w:rsidRDefault="00CA3CC3">
      <w:pPr>
        <w:ind w:left="0" w:firstLine="0"/>
        <w:rPr>
          <w:lang w:val="tr-TR"/>
        </w:rPr>
      </w:pPr>
    </w:p>
    <w:p w14:paraId="44B77FA0" w14:textId="77777777" w:rsidR="00CA3CC3" w:rsidRDefault="00CA3CC3">
      <w:pPr>
        <w:ind w:left="0" w:firstLine="0"/>
        <w:rPr>
          <w:lang w:val="tr-TR"/>
        </w:rPr>
      </w:pPr>
    </w:p>
    <w:p w14:paraId="4EA7F34B" w14:textId="77777777" w:rsidR="00CA3CC3" w:rsidRDefault="00CA3CC3">
      <w:pPr>
        <w:ind w:left="0" w:firstLine="0"/>
        <w:rPr>
          <w:lang w:val="tr-TR"/>
        </w:rPr>
      </w:pPr>
    </w:p>
    <w:p w14:paraId="1C2D59BE" w14:textId="77777777" w:rsidR="00CA3CC3" w:rsidRDefault="00CA3CC3">
      <w:pPr>
        <w:ind w:left="0" w:firstLine="0"/>
        <w:rPr>
          <w:lang w:val="tr-TR"/>
        </w:rPr>
      </w:pPr>
    </w:p>
    <w:p w14:paraId="12D88B2B" w14:textId="77777777" w:rsidR="00CA3CC3" w:rsidRDefault="00CA3CC3">
      <w:pPr>
        <w:numPr>
          <w:ilvl w:val="12"/>
          <w:numId w:val="0"/>
        </w:numPr>
        <w:tabs>
          <w:tab w:val="center" w:pos="1418"/>
          <w:tab w:val="center" w:pos="4253"/>
        </w:tabs>
        <w:rPr>
          <w:lang w:val="tr-TR"/>
        </w:rPr>
      </w:pPr>
    </w:p>
    <w:p w14:paraId="185FAC7E" w14:textId="77777777" w:rsidR="00CA3CC3" w:rsidRDefault="00CA3CC3">
      <w:pPr>
        <w:numPr>
          <w:ilvl w:val="12"/>
          <w:numId w:val="0"/>
        </w:numPr>
        <w:tabs>
          <w:tab w:val="center" w:pos="1418"/>
          <w:tab w:val="center" w:pos="4253"/>
        </w:tabs>
        <w:ind w:left="283" w:hanging="283"/>
        <w:rPr>
          <w:b/>
          <w:lang w:val="tr-TR"/>
        </w:rPr>
      </w:pPr>
    </w:p>
    <w:p w14:paraId="29691645" w14:textId="77777777" w:rsidR="00CA3CC3" w:rsidRDefault="00CA3CC3">
      <w:pPr>
        <w:numPr>
          <w:ilvl w:val="12"/>
          <w:numId w:val="0"/>
        </w:numPr>
        <w:tabs>
          <w:tab w:val="center" w:pos="1418"/>
          <w:tab w:val="center" w:pos="4253"/>
        </w:tabs>
        <w:ind w:left="283" w:hanging="283"/>
        <w:rPr>
          <w:b/>
          <w:lang w:val="tr-TR"/>
        </w:rPr>
      </w:pPr>
    </w:p>
    <w:p w14:paraId="3F882D42" w14:textId="77777777" w:rsidR="00CA3CC3" w:rsidRDefault="00CA3CC3" w:rsidP="00422A2B">
      <w:pPr>
        <w:numPr>
          <w:ilvl w:val="12"/>
          <w:numId w:val="0"/>
        </w:numPr>
        <w:rPr>
          <w:b/>
          <w:lang w:val="tr-TR"/>
        </w:rPr>
      </w:pPr>
    </w:p>
    <w:p w14:paraId="663D0ECC" w14:textId="77777777" w:rsidR="00CA3CC3" w:rsidRDefault="00CA3CC3" w:rsidP="00CA109F">
      <w:pPr>
        <w:numPr>
          <w:ilvl w:val="12"/>
          <w:numId w:val="0"/>
        </w:numPr>
        <w:tabs>
          <w:tab w:val="center" w:pos="1418"/>
          <w:tab w:val="center" w:pos="4253"/>
        </w:tabs>
        <w:spacing w:before="120" w:after="120"/>
        <w:ind w:left="284" w:hanging="284"/>
        <w:jc w:val="center"/>
        <w:rPr>
          <w:b/>
          <w:lang w:val="tr-TR"/>
        </w:rPr>
      </w:pPr>
      <w:r>
        <w:rPr>
          <w:b/>
          <w:lang w:val="tr-TR"/>
        </w:rPr>
        <w:t>Piyasa Yapıcı Üyeyi</w:t>
      </w:r>
    </w:p>
    <w:p w14:paraId="4F6D8F6F" w14:textId="77777777" w:rsidR="00CA3CC3" w:rsidRDefault="00CA3CC3" w:rsidP="00CA109F">
      <w:pPr>
        <w:numPr>
          <w:ilvl w:val="12"/>
          <w:numId w:val="0"/>
        </w:numPr>
        <w:tabs>
          <w:tab w:val="center" w:pos="1418"/>
          <w:tab w:val="center" w:pos="4253"/>
        </w:tabs>
        <w:spacing w:before="120" w:after="120"/>
        <w:ind w:left="284" w:hanging="284"/>
        <w:jc w:val="center"/>
        <w:rPr>
          <w:b/>
          <w:lang w:val="tr-TR"/>
        </w:rPr>
      </w:pPr>
      <w:r>
        <w:rPr>
          <w:b/>
          <w:lang w:val="tr-TR"/>
        </w:rPr>
        <w:t>Temsile Yetkili</w:t>
      </w:r>
    </w:p>
    <w:p w14:paraId="392481AC" w14:textId="77777777" w:rsidR="00CA3CC3" w:rsidRDefault="00CA3CC3" w:rsidP="00CA109F">
      <w:pPr>
        <w:numPr>
          <w:ilvl w:val="12"/>
          <w:numId w:val="0"/>
        </w:numPr>
        <w:tabs>
          <w:tab w:val="center" w:pos="1418"/>
          <w:tab w:val="center" w:pos="4253"/>
        </w:tabs>
        <w:spacing w:before="120" w:after="120"/>
        <w:ind w:left="284" w:hanging="284"/>
        <w:jc w:val="center"/>
        <w:rPr>
          <w:b/>
          <w:lang w:val="tr-TR"/>
        </w:rPr>
      </w:pPr>
      <w:r>
        <w:rPr>
          <w:b/>
          <w:lang w:val="tr-TR"/>
        </w:rPr>
        <w:t>Yöneticileri ve İmzaları</w:t>
      </w:r>
    </w:p>
    <w:p w14:paraId="488F6FFC" w14:textId="77777777" w:rsidR="00CA3CC3" w:rsidRDefault="00CA3CC3">
      <w:pPr>
        <w:numPr>
          <w:ilvl w:val="12"/>
          <w:numId w:val="0"/>
        </w:numPr>
        <w:tabs>
          <w:tab w:val="center" w:pos="1418"/>
          <w:tab w:val="center" w:pos="4253"/>
        </w:tabs>
        <w:ind w:left="283" w:hanging="283"/>
        <w:rPr>
          <w:b/>
          <w:lang w:val="tr-TR"/>
        </w:rPr>
      </w:pPr>
    </w:p>
    <w:p w14:paraId="41C801D8" w14:textId="77777777" w:rsidR="00CA3CC3" w:rsidRDefault="00CA3CC3">
      <w:pPr>
        <w:numPr>
          <w:ilvl w:val="12"/>
          <w:numId w:val="0"/>
        </w:numPr>
        <w:tabs>
          <w:tab w:val="center" w:pos="1418"/>
          <w:tab w:val="center" w:pos="4253"/>
        </w:tabs>
        <w:ind w:left="283" w:hanging="283"/>
        <w:rPr>
          <w:b/>
          <w:lang w:val="tr-TR"/>
        </w:rPr>
      </w:pPr>
    </w:p>
    <w:p w14:paraId="30FB9981" w14:textId="77777777" w:rsidR="00CA3CC3" w:rsidRDefault="00CA3CC3">
      <w:pPr>
        <w:numPr>
          <w:ilvl w:val="12"/>
          <w:numId w:val="0"/>
        </w:numPr>
        <w:tabs>
          <w:tab w:val="center" w:pos="1418"/>
          <w:tab w:val="center" w:pos="4253"/>
        </w:tabs>
        <w:ind w:left="283" w:hanging="283"/>
        <w:rPr>
          <w:b/>
          <w:lang w:val="tr-TR"/>
        </w:rPr>
      </w:pPr>
    </w:p>
    <w:p w14:paraId="3F3CC221" w14:textId="77777777" w:rsidR="00CA3CC3" w:rsidRPr="00422A2B" w:rsidRDefault="00CA3CC3" w:rsidP="00422A2B">
      <w:pPr>
        <w:numPr>
          <w:ilvl w:val="12"/>
          <w:numId w:val="0"/>
        </w:numPr>
        <w:ind w:left="283" w:hanging="283"/>
        <w:rPr>
          <w:b/>
          <w:lang w:val="tr-TR"/>
        </w:rPr>
      </w:pPr>
      <w:r>
        <w:rPr>
          <w:b/>
          <w:lang w:val="tr-TR"/>
        </w:rPr>
        <w:t xml:space="preserve"> </w:t>
      </w:r>
    </w:p>
    <w:p w14:paraId="18F044C8" w14:textId="77777777" w:rsidR="00CA3CC3" w:rsidRDefault="00CA3CC3">
      <w:pPr>
        <w:tabs>
          <w:tab w:val="center" w:pos="1418"/>
          <w:tab w:val="center" w:pos="4253"/>
        </w:tabs>
        <w:ind w:left="0" w:firstLine="0"/>
      </w:pPr>
    </w:p>
    <w:sectPr w:rsidR="00CA3CC3" w:rsidSect="008550B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195" w14:textId="77777777" w:rsidR="00166213" w:rsidRDefault="00166213" w:rsidP="008550B4">
      <w:pPr>
        <w:numPr>
          <w:ilvl w:val="12"/>
          <w:numId w:val="0"/>
        </w:numPr>
        <w:ind w:left="283" w:hanging="283"/>
      </w:pPr>
      <w:r>
        <w:separator/>
      </w:r>
    </w:p>
  </w:endnote>
  <w:endnote w:type="continuationSeparator" w:id="0">
    <w:p w14:paraId="4E56DEDF" w14:textId="77777777" w:rsidR="00166213" w:rsidRDefault="00166213" w:rsidP="008550B4">
      <w:pPr>
        <w:numPr>
          <w:ilvl w:val="12"/>
          <w:numId w:val="0"/>
        </w:numPr>
        <w:ind w:left="283" w:hanging="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F6F" w14:textId="77777777" w:rsidR="00CA3CC3" w:rsidRDefault="00CA3CC3">
    <w:pPr>
      <w:pStyle w:val="Footer"/>
      <w:framePr w:wrap="around" w:vAnchor="text" w:hAnchor="margin" w:xAlign="right" w:y="1"/>
      <w:numPr>
        <w:ilvl w:val="12"/>
        <w:numId w:val="0"/>
      </w:numPr>
      <w:ind w:left="283" w:hanging="28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70BE26" w14:textId="77777777" w:rsidR="00CA3CC3" w:rsidRDefault="00CA3CC3">
    <w:pPr>
      <w:pStyle w:val="Footer"/>
      <w:numPr>
        <w:ilvl w:val="12"/>
        <w:numId w:val="0"/>
      </w:numPr>
      <w:ind w:left="283" w:right="360" w:hanging="2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B0DB" w14:textId="77777777" w:rsidR="00CA3CC3" w:rsidRDefault="00CA3CC3">
    <w:pPr>
      <w:pStyle w:val="Footer"/>
      <w:framePr w:wrap="around" w:vAnchor="text" w:hAnchor="margin" w:xAlign="right" w:y="1"/>
      <w:numPr>
        <w:ilvl w:val="12"/>
        <w:numId w:val="0"/>
      </w:numPr>
      <w:ind w:left="283" w:hanging="283"/>
      <w:rPr>
        <w:rStyle w:val="PageNumber"/>
      </w:rPr>
    </w:pPr>
    <w:r>
      <w:rPr>
        <w:rStyle w:val="PageNumber"/>
      </w:rPr>
      <w:t xml:space="preserve"> </w:t>
    </w:r>
  </w:p>
  <w:p w14:paraId="68BC89DD" w14:textId="77777777" w:rsidR="00CA3CC3" w:rsidRPr="00422A2B" w:rsidRDefault="00422A2B" w:rsidP="00422A2B">
    <w:pPr>
      <w:pStyle w:val="Footer"/>
      <w:numPr>
        <w:ilvl w:val="12"/>
        <w:numId w:val="0"/>
      </w:numPr>
      <w:pBdr>
        <w:top w:val="single" w:sz="2" w:space="1" w:color="auto"/>
      </w:pBdr>
      <w:tabs>
        <w:tab w:val="clear" w:pos="4153"/>
        <w:tab w:val="clear" w:pos="8306"/>
      </w:tabs>
      <w:ind w:left="283" w:hanging="283"/>
      <w:jc w:val="right"/>
      <w:rPr>
        <w:i/>
        <w:sz w:val="16"/>
      </w:rPr>
    </w:pPr>
    <w:r w:rsidRPr="008550B4">
      <w:rPr>
        <w:i/>
        <w:sz w:val="16"/>
        <w:lang w:val="tr-TR"/>
      </w:rPr>
      <w:t xml:space="preserve">Sayfa </w:t>
    </w:r>
    <w:r w:rsidRPr="008550B4">
      <w:rPr>
        <w:bCs/>
        <w:i/>
        <w:sz w:val="16"/>
        <w:szCs w:val="24"/>
      </w:rPr>
      <w:fldChar w:fldCharType="begin"/>
    </w:r>
    <w:r w:rsidRPr="008550B4">
      <w:rPr>
        <w:bCs/>
        <w:i/>
        <w:sz w:val="16"/>
      </w:rPr>
      <w:instrText>PAGE</w:instrText>
    </w:r>
    <w:r w:rsidRPr="008550B4">
      <w:rPr>
        <w:bCs/>
        <w:i/>
        <w:sz w:val="16"/>
        <w:szCs w:val="24"/>
      </w:rPr>
      <w:fldChar w:fldCharType="separate"/>
    </w:r>
    <w:r w:rsidR="003A2689">
      <w:rPr>
        <w:bCs/>
        <w:i/>
        <w:noProof/>
        <w:sz w:val="16"/>
      </w:rPr>
      <w:t>2</w:t>
    </w:r>
    <w:r w:rsidRPr="008550B4">
      <w:rPr>
        <w:bCs/>
        <w:i/>
        <w:sz w:val="16"/>
        <w:szCs w:val="24"/>
      </w:rPr>
      <w:fldChar w:fldCharType="end"/>
    </w:r>
    <w:r w:rsidRPr="008550B4">
      <w:rPr>
        <w:i/>
        <w:sz w:val="16"/>
        <w:lang w:val="tr-TR"/>
      </w:rPr>
      <w:t xml:space="preserve"> / </w:t>
    </w:r>
    <w:r w:rsidRPr="008550B4">
      <w:rPr>
        <w:bCs/>
        <w:i/>
        <w:sz w:val="16"/>
        <w:szCs w:val="24"/>
      </w:rPr>
      <w:fldChar w:fldCharType="begin"/>
    </w:r>
    <w:r w:rsidRPr="008550B4">
      <w:rPr>
        <w:bCs/>
        <w:i/>
        <w:sz w:val="16"/>
      </w:rPr>
      <w:instrText>NUMPAGES</w:instrText>
    </w:r>
    <w:r w:rsidRPr="008550B4">
      <w:rPr>
        <w:bCs/>
        <w:i/>
        <w:sz w:val="16"/>
        <w:szCs w:val="24"/>
      </w:rPr>
      <w:fldChar w:fldCharType="separate"/>
    </w:r>
    <w:r w:rsidR="003A2689">
      <w:rPr>
        <w:bCs/>
        <w:i/>
        <w:noProof/>
        <w:sz w:val="16"/>
      </w:rPr>
      <w:t>3</w:t>
    </w:r>
    <w:r w:rsidRPr="008550B4">
      <w:rPr>
        <w:bCs/>
        <w:i/>
        <w:sz w:val="16"/>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5AC7" w14:textId="77777777" w:rsidR="008550B4" w:rsidRPr="008550B4" w:rsidRDefault="008550B4" w:rsidP="008550B4">
    <w:pPr>
      <w:pStyle w:val="Footer"/>
      <w:numPr>
        <w:ilvl w:val="12"/>
        <w:numId w:val="0"/>
      </w:numPr>
      <w:pBdr>
        <w:top w:val="single" w:sz="2" w:space="1" w:color="auto"/>
      </w:pBdr>
      <w:ind w:left="283" w:hanging="283"/>
      <w:jc w:val="right"/>
      <w:rPr>
        <w:i/>
        <w:sz w:val="16"/>
      </w:rPr>
    </w:pPr>
    <w:r w:rsidRPr="008550B4">
      <w:rPr>
        <w:i/>
        <w:sz w:val="16"/>
        <w:lang w:val="tr-TR"/>
      </w:rPr>
      <w:t xml:space="preserve">Sayfa </w:t>
    </w:r>
    <w:r w:rsidRPr="008550B4">
      <w:rPr>
        <w:bCs/>
        <w:i/>
        <w:sz w:val="16"/>
        <w:szCs w:val="24"/>
      </w:rPr>
      <w:fldChar w:fldCharType="begin"/>
    </w:r>
    <w:r w:rsidRPr="008550B4">
      <w:rPr>
        <w:bCs/>
        <w:i/>
        <w:sz w:val="16"/>
      </w:rPr>
      <w:instrText>PAGE</w:instrText>
    </w:r>
    <w:r w:rsidRPr="008550B4">
      <w:rPr>
        <w:bCs/>
        <w:i/>
        <w:sz w:val="16"/>
        <w:szCs w:val="24"/>
      </w:rPr>
      <w:fldChar w:fldCharType="separate"/>
    </w:r>
    <w:r w:rsidR="003A2689">
      <w:rPr>
        <w:bCs/>
        <w:i/>
        <w:noProof/>
        <w:sz w:val="16"/>
      </w:rPr>
      <w:t>1</w:t>
    </w:r>
    <w:r w:rsidRPr="008550B4">
      <w:rPr>
        <w:bCs/>
        <w:i/>
        <w:sz w:val="16"/>
        <w:szCs w:val="24"/>
      </w:rPr>
      <w:fldChar w:fldCharType="end"/>
    </w:r>
    <w:r w:rsidRPr="008550B4">
      <w:rPr>
        <w:i/>
        <w:sz w:val="16"/>
        <w:lang w:val="tr-TR"/>
      </w:rPr>
      <w:t xml:space="preserve"> / </w:t>
    </w:r>
    <w:r w:rsidRPr="008550B4">
      <w:rPr>
        <w:bCs/>
        <w:i/>
        <w:sz w:val="16"/>
        <w:szCs w:val="24"/>
      </w:rPr>
      <w:fldChar w:fldCharType="begin"/>
    </w:r>
    <w:r w:rsidRPr="008550B4">
      <w:rPr>
        <w:bCs/>
        <w:i/>
        <w:sz w:val="16"/>
      </w:rPr>
      <w:instrText>NUMPAGES</w:instrText>
    </w:r>
    <w:r w:rsidRPr="008550B4">
      <w:rPr>
        <w:bCs/>
        <w:i/>
        <w:sz w:val="16"/>
        <w:szCs w:val="24"/>
      </w:rPr>
      <w:fldChar w:fldCharType="separate"/>
    </w:r>
    <w:r w:rsidR="003A2689">
      <w:rPr>
        <w:bCs/>
        <w:i/>
        <w:noProof/>
        <w:sz w:val="16"/>
      </w:rPr>
      <w:t>3</w:t>
    </w:r>
    <w:r w:rsidRPr="008550B4">
      <w:rPr>
        <w:bCs/>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697F" w14:textId="77777777" w:rsidR="00166213" w:rsidRDefault="00166213" w:rsidP="008550B4">
      <w:pPr>
        <w:numPr>
          <w:ilvl w:val="12"/>
          <w:numId w:val="0"/>
        </w:numPr>
        <w:ind w:left="283" w:hanging="283"/>
      </w:pPr>
      <w:r>
        <w:separator/>
      </w:r>
    </w:p>
  </w:footnote>
  <w:footnote w:type="continuationSeparator" w:id="0">
    <w:p w14:paraId="58FBD5E7" w14:textId="77777777" w:rsidR="00166213" w:rsidRDefault="00166213" w:rsidP="008550B4">
      <w:pPr>
        <w:numPr>
          <w:ilvl w:val="12"/>
          <w:numId w:val="0"/>
        </w:numPr>
        <w:ind w:left="283" w:hanging="2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1E8A" w14:textId="0C49FD60" w:rsidR="00CA3CC3" w:rsidRDefault="00CA3CC3" w:rsidP="00520648">
    <w:pPr>
      <w:pStyle w:val="Header"/>
      <w:numPr>
        <w:ilvl w:val="12"/>
        <w:numId w:val="0"/>
      </w:num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48C" w14:textId="2279CEFD" w:rsidR="00CA3CC3" w:rsidRPr="008550B4" w:rsidRDefault="00CA109F" w:rsidP="00CA109F">
    <w:pPr>
      <w:numPr>
        <w:ilvl w:val="12"/>
        <w:numId w:val="0"/>
      </w:numPr>
      <w:pBdr>
        <w:bottom w:val="double" w:sz="2" w:space="1" w:color="auto"/>
      </w:pBdr>
      <w:tabs>
        <w:tab w:val="right" w:pos="8335"/>
      </w:tabs>
      <w:rPr>
        <w:i/>
        <w:sz w:val="16"/>
        <w:lang w:val="tr-TR"/>
      </w:rPr>
    </w:pPr>
    <w:r>
      <w:rPr>
        <w:i/>
        <w:sz w:val="16"/>
        <w:lang w:val="tr-TR"/>
      </w:rPr>
      <w:t xml:space="preserve">Pay Piyasası </w:t>
    </w:r>
    <w:r w:rsidR="00DC4891">
      <w:rPr>
        <w:i/>
        <w:sz w:val="16"/>
        <w:lang w:val="tr-TR"/>
      </w:rPr>
      <w:t>Direktörlüğü</w:t>
    </w:r>
    <w:r>
      <w:rPr>
        <w:i/>
        <w:sz w:val="16"/>
        <w:lang w:val="tr-TR"/>
      </w:rPr>
      <w:tab/>
    </w:r>
    <w:r w:rsidR="008550B4" w:rsidRPr="008550B4">
      <w:rPr>
        <w:i/>
        <w:sz w:val="16"/>
        <w:lang w:val="tr-TR"/>
      </w:rPr>
      <w:t>BİAŞ Pay Piyasası Piyasa Yapıcılık Taahhütnamesi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138B" w14:textId="35A4DF10" w:rsidR="008550B4" w:rsidRDefault="008550B4" w:rsidP="00520648">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6C9"/>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5EB3C9B"/>
    <w:multiLevelType w:val="singleLevel"/>
    <w:tmpl w:val="0C090011"/>
    <w:lvl w:ilvl="0">
      <w:start w:val="1"/>
      <w:numFmt w:val="decimal"/>
      <w:lvlText w:val="%1)"/>
      <w:lvlJc w:val="left"/>
      <w:pPr>
        <w:tabs>
          <w:tab w:val="num" w:pos="360"/>
        </w:tabs>
        <w:ind w:left="360" w:hanging="360"/>
      </w:pPr>
      <w:rPr>
        <w:rFonts w:hint="default"/>
      </w:rPr>
    </w:lvl>
  </w:abstractNum>
  <w:abstractNum w:abstractNumId="2" w15:restartNumberingAfterBreak="0">
    <w:nsid w:val="128C3A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23950"/>
    <w:multiLevelType w:val="hybridMultilevel"/>
    <w:tmpl w:val="01488C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9F642C"/>
    <w:multiLevelType w:val="hybridMultilevel"/>
    <w:tmpl w:val="8BC8EB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0F27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3E0923"/>
    <w:multiLevelType w:val="singleLevel"/>
    <w:tmpl w:val="83582EF6"/>
    <w:lvl w:ilvl="0">
      <w:start w:val="1"/>
      <w:numFmt w:val="decimal"/>
      <w:lvlText w:val="%1)"/>
      <w:legacy w:legacy="1" w:legacySpace="0" w:legacyIndent="283"/>
      <w:lvlJc w:val="left"/>
      <w:pPr>
        <w:ind w:left="283" w:hanging="283"/>
      </w:pPr>
    </w:lvl>
  </w:abstractNum>
  <w:num w:numId="1">
    <w:abstractNumId w:val="6"/>
  </w:num>
  <w:num w:numId="2">
    <w:abstractNumId w:val="6"/>
    <w:lvlOverride w:ilvl="0">
      <w:lvl w:ilvl="0">
        <w:start w:val="5"/>
        <w:numFmt w:val="decimal"/>
        <w:lvlText w:val="%1)"/>
        <w:legacy w:legacy="1" w:legacySpace="0" w:legacyIndent="283"/>
        <w:lvlJc w:val="left"/>
        <w:pPr>
          <w:ind w:left="283" w:hanging="283"/>
        </w:pPr>
      </w:lvl>
    </w:lvlOverride>
  </w:num>
  <w:num w:numId="3">
    <w:abstractNumId w:val="5"/>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4D"/>
    <w:rsid w:val="000025F4"/>
    <w:rsid w:val="00101734"/>
    <w:rsid w:val="00137290"/>
    <w:rsid w:val="00166213"/>
    <w:rsid w:val="002B38CA"/>
    <w:rsid w:val="0034201F"/>
    <w:rsid w:val="003A2689"/>
    <w:rsid w:val="00422A2B"/>
    <w:rsid w:val="00457746"/>
    <w:rsid w:val="00520648"/>
    <w:rsid w:val="00520A4D"/>
    <w:rsid w:val="00554BFF"/>
    <w:rsid w:val="005E0B1C"/>
    <w:rsid w:val="0061280F"/>
    <w:rsid w:val="00703496"/>
    <w:rsid w:val="00785A75"/>
    <w:rsid w:val="007E70AF"/>
    <w:rsid w:val="008550B4"/>
    <w:rsid w:val="00A14B06"/>
    <w:rsid w:val="00A47E10"/>
    <w:rsid w:val="00B07EBB"/>
    <w:rsid w:val="00BD04FE"/>
    <w:rsid w:val="00BE3953"/>
    <w:rsid w:val="00CA109F"/>
    <w:rsid w:val="00CA3CC3"/>
    <w:rsid w:val="00CC712D"/>
    <w:rsid w:val="00D31876"/>
    <w:rsid w:val="00D614BD"/>
    <w:rsid w:val="00DC4891"/>
    <w:rsid w:val="00E32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894319F"/>
  <w15:docId w15:val="{FA0ECC44-1F91-49FA-A1DC-E8B3F10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3" w:hanging="283"/>
      <w:jc w:val="both"/>
    </w:pPr>
    <w:rPr>
      <w:sz w:val="24"/>
      <w:lang w:val="en-GB"/>
    </w:rPr>
  </w:style>
  <w:style w:type="paragraph" w:styleId="Heading1">
    <w:name w:val="heading 1"/>
    <w:basedOn w:val="Normal"/>
    <w:next w:val="Normal"/>
    <w:qFormat/>
    <w:pPr>
      <w:keepNext/>
      <w:ind w:left="0"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lang w:val="en-AU"/>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firstLine="1"/>
    </w:pPr>
  </w:style>
  <w:style w:type="paragraph" w:styleId="BodyText">
    <w:name w:val="Body Text"/>
    <w:basedOn w:val="Normal"/>
    <w:semiHidden/>
    <w:pPr>
      <w:ind w:left="0" w:firstLine="0"/>
    </w:pPr>
  </w:style>
  <w:style w:type="paragraph" w:styleId="BodyTextIndent2">
    <w:name w:val="Body Text Indent 2"/>
    <w:basedOn w:val="Normal"/>
    <w:semiHidden/>
    <w:pPr>
      <w:ind w:left="0" w:hanging="284"/>
    </w:pPr>
  </w:style>
  <w:style w:type="paragraph" w:styleId="Header">
    <w:name w:val="header"/>
    <w:basedOn w:val="Normal"/>
    <w:semiHidden/>
    <w:pPr>
      <w:tabs>
        <w:tab w:val="center" w:pos="4153"/>
        <w:tab w:val="right" w:pos="8306"/>
      </w:tabs>
    </w:pPr>
  </w:style>
  <w:style w:type="character" w:customStyle="1" w:styleId="FooterChar">
    <w:name w:val="Footer Char"/>
    <w:link w:val="Footer"/>
    <w:uiPriority w:val="99"/>
    <w:rsid w:val="008550B4"/>
    <w:rPr>
      <w:sz w:val="24"/>
      <w:lang w:val="en-GB"/>
    </w:rPr>
  </w:style>
  <w:style w:type="paragraph" w:styleId="ListParagraph">
    <w:name w:val="List Paragraph"/>
    <w:basedOn w:val="Normal"/>
    <w:uiPriority w:val="34"/>
    <w:qFormat/>
    <w:rsid w:val="00CA109F"/>
    <w:pPr>
      <w:ind w:left="720"/>
      <w:contextualSpacing/>
    </w:pPr>
  </w:style>
  <w:style w:type="character" w:styleId="PlaceholderText">
    <w:name w:val="Placeholder Text"/>
    <w:basedOn w:val="DefaultParagraphFont"/>
    <w:uiPriority w:val="99"/>
    <w:semiHidden/>
    <w:rsid w:val="00DC4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TBClassification>
  <attrValue xml:space="preserve">HALKA AÇIK</attrValue>
  <customPropName>Classification</customPropName>
  <timestamp>3.11.2023 18:44:55</timestamp>
  <userName>BORSA\burak.balkan</userName>
  <computerName>CDPPBBURAKB40.borsa.local</computerName>
  <guid>{c118a3b9-8048-4ad6-baca-6c378055f981}</guid>
</GTBClassification>
</file>

<file path=customXml/itemProps1.xml><?xml version="1.0" encoding="utf-8"?>
<ds:datastoreItem xmlns:ds="http://schemas.openxmlformats.org/officeDocument/2006/customXml" ds:itemID="{A2D0814F-20AC-4CB9-8503-7E4137386EEA}">
  <ds:schemaRefs>
    <ds:schemaRef ds:uri="http://schemas.openxmlformats.org/officeDocument/2006/bibliography"/>
  </ds:schemaRefs>
</ds:datastoreItem>
</file>

<file path=customXml/itemProps2.xml><?xml version="1.0" encoding="utf-8"?>
<ds:datastoreItem xmlns:ds="http://schemas.openxmlformats.org/officeDocument/2006/customXml" ds:itemID="{B924054B-0853-4892-97BD-A985E81EEB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5098</Characters>
  <Application>Microsoft Office Word</Application>
  <DocSecurity>4</DocSecurity>
  <Lines>110</Lines>
  <Paragraphs>39</Paragraphs>
  <ScaleCrop>false</ScaleCrop>
  <HeadingPairs>
    <vt:vector size="2" baseType="variant">
      <vt:variant>
        <vt:lpstr>Title</vt:lpstr>
      </vt:variant>
      <vt:variant>
        <vt:i4>1</vt:i4>
      </vt:variant>
    </vt:vector>
  </HeadingPairs>
  <TitlesOfParts>
    <vt:vector size="1" baseType="lpstr">
      <vt:lpstr>Ek.4: UP Taahhütnamesi Örneği</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Balkan</dc:creator>
  <cp:keywords>ClassificationData:&lt;Classification:HALKA AÇIK&gt;</cp:keywords>
  <cp:lastModifiedBy>Burak Balkan</cp:lastModifiedBy>
  <cp:revision>2</cp:revision>
  <cp:lastPrinted>2010-01-26T12:52:00Z</cp:lastPrinted>
  <dcterms:created xsi:type="dcterms:W3CDTF">2023-11-03T15:45:00Z</dcterms:created>
  <dcterms:modified xsi:type="dcterms:W3CDTF">2023-11-03T15:45:00Z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HALKA AÇIK</vt:lpwstr>
  </property>
  <property fmtid="{D5CDD505-2E9C-101B-9397-08002B2CF9AE}" pid="3" name="ClassifiedBy">
    <vt:lpwstr>BORSA\burak.balkan</vt:lpwstr>
  </property>
  <property fmtid="{D5CDD505-2E9C-101B-9397-08002B2CF9AE}" pid="4" name="ClassificationHost">
    <vt:lpwstr>CDPPBBURAKB40.borsa.local</vt:lpwstr>
  </property>
  <property fmtid="{D5CDD505-2E9C-101B-9397-08002B2CF9AE}" pid="5" name="ClassificationDate">
    <vt:lpwstr>3.11.2023 18:44:55</vt:lpwstr>
  </property>
  <property fmtid="{D5CDD505-2E9C-101B-9397-08002B2CF9AE}" pid="6" name="ClassificationGUID">
    <vt:lpwstr>{c118a3b9-8048-4ad6-baca-6c378055f981}</vt:lpwstr>
  </property>
</Properties>
</file>